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CHWAR COMMUNITY ROUNDTABLE</w:t>
      </w:r>
    </w:p>
    <w:p>
      <w:pPr>
        <w:jc w:val="center"/>
      </w:pPr>
      <w:r>
        <w:rPr>
          <w:b/>
          <w:sz w:val="22"/>
        </w:rPr>
        <w:t>Participant Feedback Summary | September 25, 2026</w:t>
      </w:r>
    </w:p>
    <w:p>
      <w:r>
        <w:rPr>
          <w:b/>
        </w:rPr>
        <w:t xml:space="preserve">Purpose: </w:t>
      </w:r>
      <w:r>
        <w:t>Summary of participant feedback collected during the Community Health Worker roundtable. Responses were organized into recurring themes for team review, planning, and follow-up.</w:t>
      </w:r>
    </w:p>
    <w:p>
      <w:pPr>
        <w:pStyle w:val="Heading1"/>
        <w:spacing w:before="180" w:after="60"/>
      </w:pPr>
      <w:r>
        <w:t>1. Biggest Challenges CHWs Are Experiencing Right Now</w:t>
      </w:r>
    </w:p>
    <w:p>
      <w:pPr>
        <w:pStyle w:val="Heading2"/>
        <w:spacing w:before="100" w:after="20"/>
      </w:pPr>
      <w:r>
        <w:t>Funding, Wages &amp; Workforce Sustainability</w:t>
      </w:r>
    </w:p>
    <w:p>
      <w:pPr>
        <w:pStyle w:val="ListBullet"/>
        <w:spacing w:after="20"/>
        <w:ind w:left="317" w:hanging="202"/>
      </w:pPr>
      <w:r>
        <w:t>Low wages and concerns about long-term workforce sustainability.</w:t>
      </w:r>
    </w:p>
    <w:p>
      <w:pPr>
        <w:pStyle w:val="ListBullet"/>
        <w:spacing w:after="20"/>
        <w:ind w:left="317" w:hanging="202"/>
      </w:pPr>
      <w:r>
        <w:t>Lack of funding for programs and staffing.</w:t>
      </w:r>
    </w:p>
    <w:p>
      <w:pPr>
        <w:pStyle w:val="ListBullet"/>
        <w:spacing w:after="20"/>
        <w:ind w:left="317" w:hanging="202"/>
      </w:pPr>
      <w:r>
        <w:t>Funding cuts, changing funding streams, and concerns about grants or programs ending.</w:t>
      </w:r>
    </w:p>
    <w:p>
      <w:pPr>
        <w:pStyle w:val="ListBullet"/>
        <w:spacing w:after="20"/>
        <w:ind w:left="317" w:hanging="202"/>
      </w:pPr>
      <w:r>
        <w:t>Need for more sustainable resources and adequate pay for CHWs.</w:t>
      </w:r>
    </w:p>
    <w:p>
      <w:pPr>
        <w:pStyle w:val="Heading2"/>
        <w:spacing w:before="100" w:after="20"/>
      </w:pPr>
      <w:r>
        <w:t>Housing, Transportation &amp; Basic Needs</w:t>
      </w:r>
    </w:p>
    <w:p>
      <w:pPr>
        <w:pStyle w:val="ListBullet"/>
        <w:spacing w:after="20"/>
        <w:ind w:left="317" w:hanging="202"/>
      </w:pPr>
      <w:r>
        <w:t>Housing availability, affordability, instability, and limited housing resources.</w:t>
      </w:r>
    </w:p>
    <w:p>
      <w:pPr>
        <w:pStyle w:val="ListBullet"/>
        <w:spacing w:after="20"/>
        <w:ind w:left="317" w:hanging="202"/>
      </w:pPr>
      <w:r>
        <w:t>DHS-related housing challenges.</w:t>
      </w:r>
    </w:p>
    <w:p>
      <w:pPr>
        <w:pStyle w:val="ListBullet"/>
        <w:spacing w:after="20"/>
        <w:ind w:left="317" w:hanging="202"/>
      </w:pPr>
      <w:r>
        <w:t>Transportation barriers.</w:t>
      </w:r>
    </w:p>
    <w:p>
      <w:pPr>
        <w:pStyle w:val="ListBullet"/>
        <w:spacing w:after="20"/>
        <w:ind w:left="317" w:hanging="202"/>
      </w:pPr>
      <w:r>
        <w:t>Difficulty connecting community members to food, clothing, housing, and other basic-needs resources.</w:t>
      </w:r>
    </w:p>
    <w:p>
      <w:pPr>
        <w:pStyle w:val="Heading2"/>
        <w:spacing w:before="100" w:after="20"/>
      </w:pPr>
      <w:r>
        <w:t>Healthcare, Benefits &amp; Eligibility Changes</w:t>
      </w:r>
    </w:p>
    <w:p>
      <w:pPr>
        <w:pStyle w:val="ListBullet"/>
        <w:spacing w:after="20"/>
        <w:ind w:left="317" w:hanging="202"/>
      </w:pPr>
      <w:r>
        <w:t>Medicaid coverage and insurance loss.</w:t>
      </w:r>
    </w:p>
    <w:p>
      <w:pPr>
        <w:pStyle w:val="ListBullet"/>
        <w:spacing w:after="20"/>
        <w:ind w:left="317" w:hanging="202"/>
      </w:pPr>
      <w:r>
        <w:t>Healthcare access challenges.</w:t>
      </w:r>
    </w:p>
    <w:p>
      <w:pPr>
        <w:pStyle w:val="ListBullet"/>
        <w:spacing w:after="20"/>
        <w:ind w:left="317" w:hanging="202"/>
      </w:pPr>
      <w:r>
        <w:t>Changes to SNAP eligibility and other public benefits.</w:t>
      </w:r>
    </w:p>
    <w:p>
      <w:pPr>
        <w:pStyle w:val="ListBullet"/>
        <w:spacing w:after="20"/>
        <w:ind w:left="317" w:hanging="202"/>
      </w:pPr>
      <w:r>
        <w:t>Difficulty navigating benefit and eligibility changes and explaining their impact to community members.</w:t>
      </w:r>
    </w:p>
    <w:p>
      <w:pPr>
        <w:pStyle w:val="Heading2"/>
        <w:spacing w:before="100" w:after="20"/>
      </w:pPr>
      <w:r>
        <w:t>Resource Navigation &amp; Increasingly Complex Needs</w:t>
      </w:r>
    </w:p>
    <w:p>
      <w:pPr>
        <w:pStyle w:val="ListBullet"/>
        <w:spacing w:after="20"/>
        <w:ind w:left="317" w:hanging="202"/>
      </w:pPr>
      <w:r>
        <w:t>Limited resources to address increasingly complex client needs.</w:t>
      </w:r>
    </w:p>
    <w:p>
      <w:pPr>
        <w:pStyle w:val="ListBullet"/>
        <w:spacing w:after="20"/>
        <w:ind w:left="317" w:hanging="202"/>
      </w:pPr>
      <w:r>
        <w:t>Difficulty locating appropriate services and making effective referrals.</w:t>
      </w:r>
    </w:p>
    <w:p>
      <w:pPr>
        <w:pStyle w:val="ListBullet"/>
        <w:spacing w:after="20"/>
        <w:ind w:left="317" w:hanging="202"/>
      </w:pPr>
      <w:r>
        <w:t>Community members frequently need support with several issues at the same time.</w:t>
      </w:r>
    </w:p>
    <w:p>
      <w:pPr>
        <w:pStyle w:val="ListBullet"/>
        <w:spacing w:after="20"/>
        <w:ind w:left="317" w:hanging="202"/>
      </w:pPr>
      <w:r>
        <w:t>Need for stronger coordination among organizations and improved access to information.</w:t>
      </w:r>
    </w:p>
    <w:p>
      <w:r>
        <w:rPr>
          <w:b/>
        </w:rPr>
        <w:t xml:space="preserve">Key takeaway: </w:t>
      </w:r>
      <w:r>
        <w:t>CHWs are being asked to address increasingly complex community needs while simultaneously facing resource shortages, housing barriers, benefit changes, funding limitations, and workforce sustainability concerns.</w:t>
      </w:r>
    </w:p>
    <w:p>
      <w:pPr>
        <w:pStyle w:val="Heading1"/>
        <w:spacing w:before="180" w:after="60"/>
      </w:pPr>
      <w:r>
        <w:t>2. Support, Training, Resources &amp; Opportunities That Would Help CHWs Grow</w:t>
      </w:r>
    </w:p>
    <w:p>
      <w:pPr>
        <w:pStyle w:val="Heading2"/>
        <w:spacing w:before="100" w:after="20"/>
      </w:pPr>
      <w:r>
        <w:t>Training &amp; Professional Development</w:t>
      </w:r>
    </w:p>
    <w:p>
      <w:pPr>
        <w:pStyle w:val="ListBullet"/>
        <w:spacing w:after="20"/>
        <w:ind w:left="317" w:hanging="202"/>
      </w:pPr>
      <w:r>
        <w:t>More CHW-specific training and free or affordable training opportunities.</w:t>
      </w:r>
    </w:p>
    <w:p>
      <w:pPr>
        <w:pStyle w:val="ListBullet"/>
        <w:spacing w:after="20"/>
        <w:ind w:left="317" w:hanging="202"/>
      </w:pPr>
      <w:r>
        <w:t>Training on available community resources and where to find them.</w:t>
      </w:r>
    </w:p>
    <w:p>
      <w:pPr>
        <w:pStyle w:val="ListBullet"/>
        <w:spacing w:after="20"/>
        <w:ind w:left="317" w:hanging="202"/>
      </w:pPr>
      <w:r>
        <w:t>Communication training and continued education.</w:t>
      </w:r>
    </w:p>
    <w:p>
      <w:pPr>
        <w:pStyle w:val="ListBullet"/>
        <w:spacing w:after="20"/>
        <w:ind w:left="317" w:hanging="202"/>
      </w:pPr>
      <w:r>
        <w:t>A recognized state certification for CHWs.</w:t>
      </w:r>
    </w:p>
    <w:p>
      <w:pPr>
        <w:pStyle w:val="ListBullet"/>
        <w:spacing w:after="20"/>
        <w:ind w:left="317" w:hanging="202"/>
      </w:pPr>
      <w:r>
        <w:t>Leadership development for CHWs moving into leadership roles.</w:t>
      </w:r>
    </w:p>
    <w:p>
      <w:pPr>
        <w:pStyle w:val="ListBullet"/>
        <w:spacing w:after="20"/>
        <w:ind w:left="317" w:hanging="202"/>
      </w:pPr>
      <w:r>
        <w:t>Measurable professional development goals and opportunities for career advancement.</w:t>
      </w:r>
    </w:p>
    <w:p>
      <w:pPr>
        <w:pStyle w:val="Heading2"/>
        <w:spacing w:before="100" w:after="20"/>
      </w:pPr>
      <w:r>
        <w:t>Networking &amp; Collaboration</w:t>
      </w:r>
    </w:p>
    <w:p>
      <w:pPr>
        <w:pStyle w:val="ListBullet"/>
        <w:spacing w:after="20"/>
        <w:ind w:left="317" w:hanging="202"/>
      </w:pPr>
      <w:r>
        <w:t>More networking events and regular opportunities for CHWs to connect.</w:t>
      </w:r>
    </w:p>
    <w:p>
      <w:pPr>
        <w:pStyle w:val="ListBullet"/>
        <w:spacing w:after="20"/>
        <w:ind w:left="317" w:hanging="202"/>
      </w:pPr>
      <w:r>
        <w:t>Monthly or recurring meetings.</w:t>
      </w:r>
    </w:p>
    <w:p>
      <w:pPr>
        <w:pStyle w:val="ListBullet"/>
        <w:spacing w:after="20"/>
        <w:ind w:left="317" w:hanging="202"/>
      </w:pPr>
      <w:r>
        <w:t>More collaboration and communication between organizations.</w:t>
      </w:r>
    </w:p>
    <w:p>
      <w:pPr>
        <w:pStyle w:val="ListBullet"/>
        <w:spacing w:after="20"/>
        <w:ind w:left="317" w:hanging="202"/>
      </w:pPr>
      <w:r>
        <w:t>Better resource sharing and opportunities to learn what other organizations provide.</w:t>
      </w:r>
    </w:p>
    <w:p>
      <w:pPr>
        <w:pStyle w:val="Heading2"/>
        <w:spacing w:before="100" w:after="20"/>
      </w:pPr>
      <w:r>
        <w:t>Resource &amp; Funding Support</w:t>
      </w:r>
    </w:p>
    <w:p>
      <w:pPr>
        <w:pStyle w:val="ListBullet"/>
        <w:spacing w:after="20"/>
        <w:ind w:left="317" w:hanging="202"/>
      </w:pPr>
      <w:r>
        <w:t>Stronger resource-information backup for CHWs.</w:t>
      </w:r>
    </w:p>
    <w:p>
      <w:pPr>
        <w:pStyle w:val="ListBullet"/>
        <w:spacing w:after="20"/>
        <w:ind w:left="317" w:hanging="202"/>
      </w:pPr>
      <w:r>
        <w:t>DHS connections and information about housing grants.</w:t>
      </w:r>
    </w:p>
    <w:p>
      <w:pPr>
        <w:pStyle w:val="ListBullet"/>
        <w:spacing w:after="20"/>
        <w:ind w:left="317" w:hanging="202"/>
      </w:pPr>
      <w:r>
        <w:t>Food, clothing, transportation, and other basic-needs resources.</w:t>
      </w:r>
    </w:p>
    <w:p>
      <w:pPr>
        <w:pStyle w:val="ListBullet"/>
        <w:spacing w:after="20"/>
        <w:ind w:left="317" w:hanging="202"/>
      </w:pPr>
      <w:r>
        <w:t>Emergency funds and more consistent, ongoing funding.</w:t>
      </w:r>
    </w:p>
    <w:p>
      <w:pPr>
        <w:pStyle w:val="Heading2"/>
        <w:spacing w:before="100" w:after="20"/>
      </w:pPr>
      <w:r>
        <w:t>Leadership &amp; Career Growth</w:t>
      </w:r>
    </w:p>
    <w:p>
      <w:pPr>
        <w:pStyle w:val="ListBullet"/>
        <w:spacing w:after="20"/>
        <w:ind w:left="317" w:hanging="202"/>
      </w:pPr>
      <w:r>
        <w:t>CHW leadership training.</w:t>
      </w:r>
    </w:p>
    <w:p>
      <w:pPr>
        <w:pStyle w:val="ListBullet"/>
        <w:spacing w:after="20"/>
        <w:ind w:left="317" w:hanging="202"/>
      </w:pPr>
      <w:r>
        <w:t>Opportunities to move into leadership positions.</w:t>
      </w:r>
    </w:p>
    <w:p>
      <w:pPr>
        <w:pStyle w:val="ListBullet"/>
        <w:spacing w:after="20"/>
        <w:ind w:left="317" w:hanging="202"/>
      </w:pPr>
      <w:r>
        <w:t>Professional development focused on advancement and expanded responsibilities.</w:t>
      </w:r>
    </w:p>
    <w:p>
      <w:r>
        <w:rPr>
          <w:b/>
        </w:rPr>
        <w:t xml:space="preserve">Key takeaway: </w:t>
      </w:r>
      <w:r>
        <w:t>Participants want a stronger professional infrastructure around CHW work, including training, recognized credentials, networking, resource sharing, leadership development, career pathways, and reliable funding.</w:t>
      </w:r>
    </w:p>
    <w:p>
      <w:pPr>
        <w:pStyle w:val="Heading1"/>
        <w:spacing w:before="180" w:after="60"/>
      </w:pPr>
      <w:r>
        <w:t>3. How CHWAR &amp; the NYS CHW Association Can Better Support and Elevate CHW Voices</w:t>
      </w:r>
    </w:p>
    <w:p>
      <w:pPr>
        <w:pStyle w:val="Heading2"/>
        <w:spacing w:before="100" w:after="20"/>
      </w:pPr>
      <w:r>
        <w:t>Advocacy &amp; Public Awareness</w:t>
      </w:r>
    </w:p>
    <w:p>
      <w:pPr>
        <w:pStyle w:val="ListBullet"/>
        <w:spacing w:after="20"/>
        <w:ind w:left="317" w:hanging="202"/>
      </w:pPr>
      <w:r>
        <w:t>Advocate for CHWs and increase advocacy at the state and federal levels.</w:t>
      </w:r>
    </w:p>
    <w:p>
      <w:pPr>
        <w:pStyle w:val="ListBullet"/>
        <w:spacing w:after="20"/>
        <w:ind w:left="317" w:hanging="202"/>
      </w:pPr>
      <w:r>
        <w:t>Increase public acknowledgment and recognition of CHWs and their role.</w:t>
      </w:r>
    </w:p>
    <w:p>
      <w:pPr>
        <w:pStyle w:val="ListBullet"/>
        <w:spacing w:after="20"/>
        <w:ind w:left="317" w:hanging="202"/>
      </w:pPr>
      <w:r>
        <w:t>Engage government leaders and legislators and support legislation that strengthens the CHW workforce.</w:t>
      </w:r>
    </w:p>
    <w:p>
      <w:pPr>
        <w:pStyle w:val="ListBullet"/>
        <w:spacing w:after="20"/>
        <w:ind w:left="317" w:hanging="202"/>
      </w:pPr>
      <w:r>
        <w:t>Advocate for additional and sustainable funding.</w:t>
      </w:r>
    </w:p>
    <w:p>
      <w:pPr>
        <w:pStyle w:val="ListBullet"/>
        <w:spacing w:after="20"/>
        <w:ind w:left="317" w:hanging="202"/>
      </w:pPr>
      <w:r>
        <w:t>Educate local decision-makers about CHWs and the value of their work.</w:t>
      </w:r>
    </w:p>
    <w:p>
      <w:pPr>
        <w:pStyle w:val="Heading2"/>
        <w:spacing w:before="100" w:after="20"/>
      </w:pPr>
      <w:r>
        <w:t>Networking &amp; Information Sharing</w:t>
      </w:r>
    </w:p>
    <w:p>
      <w:pPr>
        <w:pStyle w:val="ListBullet"/>
        <w:spacing w:after="20"/>
        <w:ind w:left="317" w:hanging="202"/>
      </w:pPr>
      <w:r>
        <w:t>Continue bringing CHWs together through networking opportunities.</w:t>
      </w:r>
    </w:p>
    <w:p>
      <w:pPr>
        <w:pStyle w:val="ListBullet"/>
        <w:spacing w:after="20"/>
        <w:ind w:left="317" w:hanging="202"/>
      </w:pPr>
      <w:r>
        <w:t>Create regular opportunities to share resources, including during quarterly meetings.</w:t>
      </w:r>
    </w:p>
    <w:p>
      <w:pPr>
        <w:pStyle w:val="ListBullet"/>
        <w:spacing w:after="20"/>
        <w:ind w:left="317" w:hanging="202"/>
      </w:pPr>
      <w:r>
        <w:t>Continue asking CHWs directly about their needs and gathering workforce feedback.</w:t>
      </w:r>
    </w:p>
    <w:p>
      <w:pPr>
        <w:pStyle w:val="Heading2"/>
        <w:spacing w:before="100" w:after="20"/>
      </w:pPr>
      <w:r>
        <w:t>Professional Recognition &amp; Leadership</w:t>
      </w:r>
    </w:p>
    <w:p>
      <w:pPr>
        <w:pStyle w:val="ListBullet"/>
        <w:spacing w:after="20"/>
        <w:ind w:left="317" w:hanging="202"/>
      </w:pPr>
      <w:r>
        <w:t>Promote CHW leadership and leadership competencies.</w:t>
      </w:r>
    </w:p>
    <w:p>
      <w:pPr>
        <w:pStyle w:val="ListBullet"/>
        <w:spacing w:after="20"/>
        <w:ind w:left="317" w:hanging="202"/>
      </w:pPr>
      <w:r>
        <w:t>Increase professional recognition and education about the CHW role.</w:t>
      </w:r>
    </w:p>
    <w:p>
      <w:pPr>
        <w:pStyle w:val="ListBullet"/>
        <w:spacing w:after="20"/>
        <w:ind w:left="317" w:hanging="202"/>
      </w:pPr>
      <w:r>
        <w:t>Create stronger pathways for CHWs to participate in decisions affecting the workforce.</w:t>
      </w:r>
    </w:p>
    <w:p>
      <w:r>
        <w:rPr>
          <w:b/>
        </w:rPr>
        <w:t xml:space="preserve">Key takeaway: </w:t>
      </w:r>
      <w:r>
        <w:t>CHWs want their associations to serve as a stronger collective voice—connecting workers to one another while advocating for recognition, resources, funding, professional development, and meaningful representation with policymakers and community leaders.</w:t>
      </w:r>
    </w:p>
    <w:p>
      <w:pPr>
        <w:pStyle w:val="Heading1"/>
        <w:spacing w:before="180" w:after="60"/>
      </w:pPr>
      <w:r>
        <w:t>Major Themes Across the Roundtable</w:t>
      </w:r>
    </w:p>
    <w:p>
      <w:pPr>
        <w:pStyle w:val="ListBullet"/>
        <w:spacing w:after="20"/>
        <w:ind w:left="317" w:hanging="202"/>
      </w:pPr>
      <w:r>
        <w:t>Housing and basic-needs resources</w:t>
      </w:r>
    </w:p>
    <w:p>
      <w:pPr>
        <w:pStyle w:val="ListBullet"/>
        <w:spacing w:after="20"/>
        <w:ind w:left="317" w:hanging="202"/>
      </w:pPr>
      <w:r>
        <w:t>Sustainable funding and fair compensation</w:t>
      </w:r>
    </w:p>
    <w:p>
      <w:pPr>
        <w:pStyle w:val="ListBullet"/>
        <w:spacing w:after="20"/>
        <w:ind w:left="317" w:hanging="202"/>
      </w:pPr>
      <w:r>
        <w:t>Networking and stronger CHW-to-CHW connections</w:t>
      </w:r>
    </w:p>
    <w:p>
      <w:pPr>
        <w:pStyle w:val="ListBullet"/>
        <w:spacing w:after="20"/>
        <w:ind w:left="317" w:hanging="202"/>
      </w:pPr>
      <w:r>
        <w:t>Accessible training and professional development</w:t>
      </w:r>
    </w:p>
    <w:p>
      <w:pPr>
        <w:pStyle w:val="ListBullet"/>
        <w:spacing w:after="20"/>
        <w:ind w:left="317" w:hanging="202"/>
      </w:pPr>
      <w:r>
        <w:t>Recognition and certification of the CHW profession</w:t>
      </w:r>
    </w:p>
    <w:p>
      <w:pPr>
        <w:pStyle w:val="ListBullet"/>
        <w:spacing w:after="20"/>
        <w:ind w:left="317" w:hanging="202"/>
      </w:pPr>
      <w:r>
        <w:t>Leadership and career-growth opportunities</w:t>
      </w:r>
    </w:p>
    <w:p>
      <w:pPr>
        <w:pStyle w:val="ListBullet"/>
        <w:spacing w:after="20"/>
        <w:ind w:left="317" w:hanging="202"/>
      </w:pPr>
      <w:r>
        <w:t>Stronger advocacy at the local and state levels</w:t>
      </w:r>
    </w:p>
    <w:p>
      <w:pPr>
        <w:pStyle w:val="Heading1"/>
        <w:spacing w:before="180" w:after="60"/>
      </w:pPr>
      <w:r>
        <w:t>Opportunity for Follow-Up</w:t>
      </w:r>
    </w:p>
    <w:p>
      <w:r>
        <w:t>A clear theme from the roundtable was the desire for more practical networking and resource-sharing opportunities. Participants expressed interest in spaces where CHWs can connect directly, exchange contact information, learn what services other organizations provide, and quickly identify where to refer community members—without every gathering needing to center on formal presentations.</w:t>
      </w:r>
    </w:p>
    <w:p>
      <w:pPr>
        <w:spacing w:before="140"/>
      </w:pPr>
      <w:r>
        <w:rPr>
          <w:i/>
          <w:sz w:val="18"/>
        </w:rPr>
        <w:t>Note: This summary consolidates the legible written responses from the roundtable boards into recurring themes. Similar responses were grouped together to make the feedback easier to review and share.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